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335F1" w14:textId="7381DFC2" w:rsidR="00FA4598" w:rsidRDefault="00FA4598" w:rsidP="00FA4598">
      <w:pPr>
        <w:pStyle w:val="3GPPHeader"/>
        <w:spacing w:after="60"/>
        <w:rPr>
          <w:sz w:val="32"/>
          <w:szCs w:val="32"/>
        </w:rPr>
      </w:pPr>
      <w:r>
        <w:t>3GPP RAN WG</w:t>
      </w:r>
      <w:r w:rsidR="00CB5B6B">
        <w:t>1</w:t>
      </w:r>
      <w:r>
        <w:t xml:space="preserve"> Meeting #11</w:t>
      </w:r>
      <w:r w:rsidR="00CB5B6B">
        <w:t>0</w:t>
      </w:r>
      <w:r>
        <w:t>bis-e</w:t>
      </w:r>
      <w:proofErr w:type="gramStart"/>
      <w:r>
        <w:tab/>
      </w:r>
      <w:r w:rsidR="00F34BD1">
        <w:t xml:space="preserve">  </w:t>
      </w:r>
      <w:r>
        <w:rPr>
          <w:rFonts w:cs="Arial"/>
          <w:sz w:val="26"/>
          <w:szCs w:val="26"/>
        </w:rPr>
        <w:t>R</w:t>
      </w:r>
      <w:proofErr w:type="gramEnd"/>
      <w:r w:rsidR="00CB5B6B">
        <w:rPr>
          <w:rFonts w:cs="Arial"/>
          <w:sz w:val="26"/>
          <w:szCs w:val="26"/>
        </w:rPr>
        <w:t>1</w:t>
      </w:r>
      <w:r>
        <w:rPr>
          <w:rFonts w:cs="Arial"/>
          <w:sz w:val="26"/>
          <w:szCs w:val="26"/>
        </w:rPr>
        <w:t>-</w:t>
      </w:r>
      <w:r w:rsidR="000B1C90">
        <w:rPr>
          <w:rFonts w:cs="Arial"/>
          <w:sz w:val="26"/>
          <w:szCs w:val="26"/>
        </w:rPr>
        <w:t>2209645</w:t>
      </w:r>
    </w:p>
    <w:p w14:paraId="69F94952" w14:textId="77777777" w:rsidR="00FA4598" w:rsidRDefault="00FA4598" w:rsidP="00FA4598">
      <w:pPr>
        <w:pStyle w:val="3GPPHeader"/>
      </w:pPr>
      <w:proofErr w:type="spellStart"/>
      <w:r>
        <w:t>eMeeting</w:t>
      </w:r>
      <w:proofErr w:type="spellEnd"/>
      <w:r>
        <w:t xml:space="preserve"> October 10</w:t>
      </w:r>
      <w:r w:rsidRPr="00F22979">
        <w:rPr>
          <w:vertAlign w:val="superscript"/>
        </w:rPr>
        <w:t>th</w:t>
      </w:r>
      <w:r>
        <w:t xml:space="preserve"> – 19</w:t>
      </w:r>
      <w:r w:rsidRPr="00F22979">
        <w:rPr>
          <w:vertAlign w:val="superscript"/>
        </w:rPr>
        <w:t>th</w:t>
      </w:r>
      <w:r>
        <w:t xml:space="preserve">, 2022                                       </w:t>
      </w:r>
    </w:p>
    <w:p w14:paraId="15A4AF95" w14:textId="77777777" w:rsidR="002217B3" w:rsidRDefault="002217B3" w:rsidP="00FA4598">
      <w:pPr>
        <w:pStyle w:val="3GPPHeader"/>
        <w:rPr>
          <w:sz w:val="22"/>
          <w:szCs w:val="22"/>
          <w:lang w:val="sv-SE"/>
        </w:rPr>
      </w:pPr>
    </w:p>
    <w:p w14:paraId="1B7EC8C6" w14:textId="50422C27" w:rsidR="00FA4598" w:rsidRPr="00412DF3" w:rsidRDefault="00FA4598" w:rsidP="00FA4598">
      <w:pPr>
        <w:pStyle w:val="3GPPHeader"/>
        <w:rPr>
          <w:sz w:val="22"/>
          <w:szCs w:val="22"/>
          <w:lang w:val="sv-SE"/>
        </w:rPr>
      </w:pPr>
      <w:r w:rsidRPr="00412DF3">
        <w:rPr>
          <w:sz w:val="22"/>
          <w:szCs w:val="22"/>
          <w:lang w:val="sv-SE"/>
        </w:rPr>
        <w:t>Agenda Item:</w:t>
      </w:r>
      <w:r w:rsidRPr="00412DF3">
        <w:rPr>
          <w:sz w:val="22"/>
          <w:szCs w:val="22"/>
          <w:lang w:val="sv-SE"/>
        </w:rPr>
        <w:tab/>
      </w:r>
      <w:r w:rsidR="00CB5B6B">
        <w:rPr>
          <w:sz w:val="22"/>
          <w:szCs w:val="22"/>
          <w:lang w:val="sv-SE"/>
        </w:rPr>
        <w:t>9.11.4</w:t>
      </w:r>
    </w:p>
    <w:p w14:paraId="69E922AD" w14:textId="42F58780" w:rsidR="00FA4598" w:rsidRPr="00552A09" w:rsidRDefault="00FA4598" w:rsidP="00FA4598">
      <w:pPr>
        <w:pStyle w:val="3GPPHeader"/>
        <w:rPr>
          <w:sz w:val="22"/>
          <w:szCs w:val="22"/>
          <w:lang w:val="en-US"/>
        </w:rPr>
      </w:pPr>
      <w:r w:rsidRPr="00552A09">
        <w:rPr>
          <w:sz w:val="22"/>
          <w:szCs w:val="22"/>
          <w:lang w:val="en-US"/>
        </w:rPr>
        <w:t>Source:</w:t>
      </w:r>
      <w:r w:rsidRPr="00552A09">
        <w:rPr>
          <w:sz w:val="22"/>
          <w:szCs w:val="22"/>
          <w:lang w:val="en-US"/>
        </w:rPr>
        <w:tab/>
        <w:t>InterDigital</w:t>
      </w:r>
      <w:r w:rsidR="00F34BD1">
        <w:rPr>
          <w:sz w:val="22"/>
          <w:szCs w:val="22"/>
          <w:lang w:val="en-US"/>
        </w:rPr>
        <w:t>, Inc.</w:t>
      </w:r>
    </w:p>
    <w:p w14:paraId="2FE44361" w14:textId="77777777" w:rsidR="00FA4598" w:rsidRPr="004A1A95" w:rsidRDefault="00FA4598" w:rsidP="00FA4598">
      <w:pPr>
        <w:pStyle w:val="3GPPHeader"/>
        <w:jc w:val="left"/>
        <w:rPr>
          <w:color w:val="000000"/>
          <w:sz w:val="22"/>
          <w:szCs w:val="22"/>
        </w:rPr>
      </w:pPr>
      <w:r w:rsidRPr="004A1A95">
        <w:rPr>
          <w:sz w:val="22"/>
          <w:szCs w:val="22"/>
        </w:rPr>
        <w:t>Title:</w:t>
      </w:r>
      <w:r w:rsidRPr="004A1A95">
        <w:rPr>
          <w:sz w:val="22"/>
          <w:szCs w:val="22"/>
        </w:rPr>
        <w:tab/>
      </w:r>
      <w:r>
        <w:rPr>
          <w:sz w:val="22"/>
          <w:szCs w:val="22"/>
        </w:rPr>
        <w:t>GNSS acquisition and reporting for IoT NTN</w:t>
      </w:r>
    </w:p>
    <w:p w14:paraId="62F9B5BB" w14:textId="58720318" w:rsidR="00FA4598" w:rsidRPr="004A1A95" w:rsidRDefault="00FA4598" w:rsidP="00FA4598">
      <w:pPr>
        <w:pStyle w:val="3GPPHeader"/>
        <w:rPr>
          <w:sz w:val="22"/>
          <w:szCs w:val="22"/>
        </w:rPr>
      </w:pPr>
      <w:r w:rsidRPr="004A1A95">
        <w:rPr>
          <w:sz w:val="22"/>
          <w:szCs w:val="22"/>
        </w:rPr>
        <w:t>Document for:</w:t>
      </w:r>
      <w:r w:rsidRPr="004A1A95">
        <w:rPr>
          <w:sz w:val="22"/>
          <w:szCs w:val="22"/>
        </w:rPr>
        <w:tab/>
        <w:t>Discussion</w:t>
      </w:r>
      <w:r w:rsidR="00F34BD1">
        <w:rPr>
          <w:sz w:val="22"/>
          <w:szCs w:val="22"/>
        </w:rPr>
        <w:t xml:space="preserve"> and</w:t>
      </w:r>
      <w:r w:rsidRPr="004A1A95">
        <w:rPr>
          <w:sz w:val="22"/>
          <w:szCs w:val="22"/>
        </w:rPr>
        <w:t xml:space="preserve"> Decision</w:t>
      </w:r>
    </w:p>
    <w:p w14:paraId="20BDAA71" w14:textId="77777777" w:rsidR="00FA4598" w:rsidRDefault="00FA4598" w:rsidP="00FA4598">
      <w:pPr>
        <w:pStyle w:val="Heading1"/>
      </w:pPr>
      <w:r w:rsidRPr="004A1A95">
        <w:t>Introduction</w:t>
      </w:r>
    </w:p>
    <w:p w14:paraId="27406CEC" w14:textId="77777777" w:rsidR="00FA4598" w:rsidRDefault="00FA4598" w:rsidP="00FA4598">
      <w:pPr>
        <w:rPr>
          <w:lang w:eastAsia="ko-KR"/>
        </w:rPr>
      </w:pPr>
      <w:r>
        <w:rPr>
          <w:lang w:eastAsia="ko-KR"/>
        </w:rPr>
        <w:t xml:space="preserve">Non-terrestrial networks are characterized by large moving cells and reduced effectiveness of measurement-based procedures due to reduced signal-strength variation between cell </w:t>
      </w:r>
      <w:proofErr w:type="spellStart"/>
      <w:r>
        <w:rPr>
          <w:lang w:eastAsia="ko-KR"/>
        </w:rPr>
        <w:t>center</w:t>
      </w:r>
      <w:proofErr w:type="spellEnd"/>
      <w:r>
        <w:rPr>
          <w:lang w:eastAsia="ko-KR"/>
        </w:rPr>
        <w:t xml:space="preserve"> and cell edge. Rel-17 has partly addressed these issues by incorporating UE location into various procedures such as </w:t>
      </w:r>
      <w:r w:rsidRPr="0060726C">
        <w:rPr>
          <w:lang w:eastAsia="ko-KR"/>
        </w:rPr>
        <w:t>tim</w:t>
      </w:r>
      <w:r>
        <w:rPr>
          <w:lang w:eastAsia="ko-KR"/>
        </w:rPr>
        <w:t>e</w:t>
      </w:r>
      <w:r w:rsidRPr="0060726C">
        <w:rPr>
          <w:lang w:eastAsia="ko-KR"/>
        </w:rPr>
        <w:t xml:space="preserve"> pre-compensation</w:t>
      </w:r>
      <w:r>
        <w:rPr>
          <w:lang w:eastAsia="ko-KR"/>
        </w:rPr>
        <w:t xml:space="preserve">, CHO, and measurement reporting. Since other RAT-dependent positioning methods are not currently supported, maintaining updated and accurate </w:t>
      </w:r>
      <w:r w:rsidRPr="0060726C">
        <w:rPr>
          <w:lang w:eastAsia="ko-KR"/>
        </w:rPr>
        <w:t xml:space="preserve">GNSS information is </w:t>
      </w:r>
      <w:r>
        <w:rPr>
          <w:lang w:eastAsia="ko-KR"/>
        </w:rPr>
        <w:t>essential in NTN. It is assumed that all Rel-17/18 NTN capable devices are GNSS capable.</w:t>
      </w:r>
    </w:p>
    <w:p w14:paraId="6D9F523A" w14:textId="77777777" w:rsidR="00FA4598" w:rsidRDefault="00FA4598" w:rsidP="00FA4598">
      <w:pPr>
        <w:rPr>
          <w:bCs/>
        </w:rPr>
      </w:pPr>
      <w:r>
        <w:t>An objective for Rel-18 IoT NTN is to continue performance enhancements to address remaining issues from Rel-17.</w:t>
      </w:r>
      <w:r>
        <w:rPr>
          <w:bCs/>
        </w:rPr>
        <w:t xml:space="preserve"> One of these remaining issues is improved GNSS operation [1]:</w:t>
      </w:r>
    </w:p>
    <w:tbl>
      <w:tblPr>
        <w:tblStyle w:val="TableGrid"/>
        <w:tblW w:w="0" w:type="auto"/>
        <w:tblLook w:val="04A0" w:firstRow="1" w:lastRow="0" w:firstColumn="1" w:lastColumn="0" w:noHBand="0" w:noVBand="1"/>
      </w:tblPr>
      <w:tblGrid>
        <w:gridCol w:w="9629"/>
      </w:tblGrid>
      <w:tr w:rsidR="00FA4598" w14:paraId="7D4DEB01" w14:textId="77777777" w:rsidTr="006D609B">
        <w:tc>
          <w:tcPr>
            <w:tcW w:w="9629" w:type="dxa"/>
          </w:tcPr>
          <w:p w14:paraId="142279A1" w14:textId="77777777" w:rsidR="00FA4598" w:rsidRPr="00690E11" w:rsidRDefault="00FA4598" w:rsidP="006D609B">
            <w:pPr>
              <w:rPr>
                <w:rFonts w:cs="Arial"/>
                <w:i/>
                <w:iCs/>
              </w:rPr>
            </w:pPr>
            <w:r w:rsidRPr="00690E11">
              <w:rPr>
                <w:rFonts w:cs="Arial"/>
                <w:i/>
                <w:iCs/>
              </w:rPr>
              <w:t>4.1.1</w:t>
            </w:r>
            <w:r w:rsidRPr="00690E11">
              <w:rPr>
                <w:rFonts w:cs="Arial"/>
                <w:i/>
                <w:iCs/>
              </w:rPr>
              <w:tab/>
              <w:t>IoT-NTN Performance Enhancements in Rel-18 to address remaining issues from Rel-17</w:t>
            </w:r>
          </w:p>
          <w:p w14:paraId="09A0C106" w14:textId="77777777" w:rsidR="00FA4598" w:rsidRPr="00690E11" w:rsidRDefault="00FA4598" w:rsidP="006D609B">
            <w:pPr>
              <w:rPr>
                <w:rFonts w:cs="Arial"/>
                <w:i/>
                <w:iCs/>
              </w:rPr>
            </w:pPr>
            <w:r w:rsidRPr="00690E11">
              <w:rPr>
                <w:rFonts w:cs="Arial"/>
                <w:i/>
                <w:iCs/>
              </w:rPr>
              <w:t>This work considers Rel-17 IoT-NTN as baseline as well as Rel-17 NR-NTN outcome and the further IoT-NTN performance enhancements objectives are listed below:</w:t>
            </w:r>
          </w:p>
          <w:p w14:paraId="7719CB1C" w14:textId="77777777" w:rsidR="00FA4598" w:rsidRPr="00690E11" w:rsidRDefault="00FA4598" w:rsidP="00FA4598">
            <w:pPr>
              <w:pStyle w:val="ListParagraph"/>
              <w:numPr>
                <w:ilvl w:val="0"/>
                <w:numId w:val="6"/>
              </w:numPr>
              <w:overflowPunct/>
              <w:autoSpaceDE/>
              <w:autoSpaceDN/>
              <w:adjustRightInd/>
              <w:spacing w:after="160" w:line="259" w:lineRule="auto"/>
              <w:contextualSpacing/>
              <w:jc w:val="left"/>
              <w:textAlignment w:val="auto"/>
              <w:rPr>
                <w:rFonts w:ascii="Arial" w:hAnsi="Arial" w:cs="Arial"/>
                <w:i/>
                <w:iCs/>
              </w:rPr>
            </w:pPr>
            <w:r w:rsidRPr="00690E11">
              <w:rPr>
                <w:rFonts w:ascii="Arial" w:hAnsi="Arial" w:cs="Arial"/>
                <w:i/>
                <w:iCs/>
              </w:rPr>
              <w:t>Disabling of HARQ feedback to mitigate impact of HARQ stalling on UE data rates [RAN</w:t>
            </w:r>
            <w:proofErr w:type="gramStart"/>
            <w:r w:rsidRPr="00690E11">
              <w:rPr>
                <w:rFonts w:ascii="Arial" w:hAnsi="Arial" w:cs="Arial"/>
                <w:i/>
                <w:iCs/>
              </w:rPr>
              <w:t>1,RAN</w:t>
            </w:r>
            <w:proofErr w:type="gramEnd"/>
            <w:r w:rsidRPr="00690E11">
              <w:rPr>
                <w:rFonts w:ascii="Arial" w:hAnsi="Arial" w:cs="Arial"/>
                <w:i/>
                <w:iCs/>
              </w:rPr>
              <w:t>2]</w:t>
            </w:r>
          </w:p>
          <w:p w14:paraId="3391D966" w14:textId="77777777" w:rsidR="00FA4598" w:rsidRPr="000569A7" w:rsidRDefault="00FA4598" w:rsidP="00FA4598">
            <w:pPr>
              <w:pStyle w:val="ListParagraph"/>
              <w:numPr>
                <w:ilvl w:val="0"/>
                <w:numId w:val="6"/>
              </w:numPr>
              <w:overflowPunct/>
              <w:autoSpaceDE/>
              <w:autoSpaceDN/>
              <w:adjustRightInd/>
              <w:spacing w:after="160" w:line="259" w:lineRule="auto"/>
              <w:contextualSpacing/>
              <w:jc w:val="left"/>
              <w:textAlignment w:val="auto"/>
              <w:rPr>
                <w:rFonts w:ascii="Arial" w:hAnsi="Arial" w:cs="Arial"/>
                <w:i/>
                <w:iCs/>
              </w:rPr>
            </w:pPr>
            <w:r w:rsidRPr="00690E11">
              <w:rPr>
                <w:rFonts w:ascii="Arial" w:hAnsi="Arial" w:cs="Arial"/>
                <w:i/>
                <w:iCs/>
              </w:rPr>
              <w:t>Study and specify, if needed, improved GNSS operations for a new position fix for UE pre-compensation during long connection times and for reduced power consumption. Simultaneous GNSS and NTN NB-IoT/eMTC operation is not assumed. [RAN1]</w:t>
            </w:r>
          </w:p>
        </w:tc>
      </w:tr>
    </w:tbl>
    <w:p w14:paraId="313D741C" w14:textId="77777777" w:rsidR="00FA4598" w:rsidRPr="000569A7" w:rsidRDefault="00FA4598" w:rsidP="00FA4598">
      <w:pPr>
        <w:rPr>
          <w:bCs/>
          <w:sz w:val="2"/>
          <w:szCs w:val="2"/>
        </w:rPr>
      </w:pPr>
    </w:p>
    <w:p w14:paraId="1D9C1BA2" w14:textId="77777777" w:rsidR="00FA4598" w:rsidRDefault="00FA4598" w:rsidP="00FA4598">
      <w:pPr>
        <w:rPr>
          <w:lang w:val="en-US"/>
        </w:rPr>
      </w:pPr>
      <w:r>
        <w:rPr>
          <w:lang w:val="en-US"/>
        </w:rPr>
        <w:t>RAN1 has made the following relevant agreements in RAN1#110 regarding enhanced GNSS operation for IoT NTN devices [2]:</w:t>
      </w:r>
    </w:p>
    <w:tbl>
      <w:tblPr>
        <w:tblStyle w:val="TableGrid"/>
        <w:tblW w:w="0" w:type="auto"/>
        <w:tblLook w:val="04A0" w:firstRow="1" w:lastRow="0" w:firstColumn="1" w:lastColumn="0" w:noHBand="0" w:noVBand="1"/>
      </w:tblPr>
      <w:tblGrid>
        <w:gridCol w:w="9629"/>
      </w:tblGrid>
      <w:tr w:rsidR="00FA4598" w14:paraId="46CB939A" w14:textId="77777777" w:rsidTr="006D609B">
        <w:tc>
          <w:tcPr>
            <w:tcW w:w="9629" w:type="dxa"/>
          </w:tcPr>
          <w:p w14:paraId="08DCD7F1" w14:textId="77777777" w:rsidR="00FA4598" w:rsidRPr="00275362" w:rsidRDefault="00FA4598" w:rsidP="006D609B">
            <w:pPr>
              <w:rPr>
                <w:i/>
                <w:iCs/>
              </w:rPr>
            </w:pPr>
            <w:r w:rsidRPr="00275362">
              <w:rPr>
                <w:i/>
                <w:iCs/>
                <w:highlight w:val="green"/>
              </w:rPr>
              <w:t>Agreement</w:t>
            </w:r>
          </w:p>
          <w:p w14:paraId="1B54F3F9" w14:textId="77777777" w:rsidR="00FA4598" w:rsidRPr="00275362" w:rsidRDefault="00FA4598" w:rsidP="006D609B">
            <w:pPr>
              <w:rPr>
                <w:i/>
                <w:iCs/>
              </w:rPr>
            </w:pPr>
            <w:r w:rsidRPr="00275362">
              <w:rPr>
                <w:i/>
                <w:iCs/>
              </w:rPr>
              <w:t xml:space="preserve">GNSS assistance information that UE reports to </w:t>
            </w:r>
            <w:proofErr w:type="spellStart"/>
            <w:r w:rsidRPr="00275362">
              <w:rPr>
                <w:i/>
                <w:iCs/>
              </w:rPr>
              <w:t>eNB</w:t>
            </w:r>
            <w:proofErr w:type="spellEnd"/>
            <w:r w:rsidRPr="00275362">
              <w:rPr>
                <w:i/>
                <w:iCs/>
              </w:rPr>
              <w:t xml:space="preserve"> at least consists of:</w:t>
            </w:r>
          </w:p>
          <w:p w14:paraId="25204C82"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hAnsi="Arial" w:cs="Arial"/>
                <w:i/>
                <w:iCs/>
                <w:lang w:eastAsia="x-none"/>
              </w:rPr>
            </w:pPr>
            <w:r w:rsidRPr="00275362">
              <w:rPr>
                <w:rFonts w:ascii="Arial" w:eastAsia="SimSun" w:hAnsi="Arial" w:cs="Arial"/>
                <w:i/>
                <w:iCs/>
              </w:rPr>
              <w:t xml:space="preserve">GNSS position fix time duration for measurement </w:t>
            </w:r>
          </w:p>
          <w:p w14:paraId="6323E1C7"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hAnsi="Arial" w:cs="Arial"/>
                <w:i/>
                <w:iCs/>
              </w:rPr>
            </w:pPr>
            <w:r w:rsidRPr="00275362">
              <w:rPr>
                <w:rFonts w:ascii="Arial" w:hAnsi="Arial" w:cs="Arial"/>
                <w:i/>
                <w:iCs/>
              </w:rPr>
              <w:t xml:space="preserve">GNSS validity duration </w:t>
            </w:r>
          </w:p>
          <w:p w14:paraId="7299853A" w14:textId="77777777" w:rsidR="00FA4598" w:rsidRPr="00275362" w:rsidRDefault="00FA4598" w:rsidP="006D609B">
            <w:pPr>
              <w:rPr>
                <w:i/>
                <w:iCs/>
              </w:rPr>
            </w:pPr>
            <w:r w:rsidRPr="00275362">
              <w:rPr>
                <w:i/>
                <w:iCs/>
                <w:highlight w:val="green"/>
              </w:rPr>
              <w:t>Agreement</w:t>
            </w:r>
          </w:p>
          <w:p w14:paraId="0698FE88" w14:textId="77777777" w:rsidR="00FA4598" w:rsidRPr="00275362" w:rsidRDefault="00FA4598" w:rsidP="006D609B">
            <w:pPr>
              <w:rPr>
                <w:i/>
                <w:iCs/>
              </w:rPr>
            </w:pPr>
            <w:r w:rsidRPr="00275362">
              <w:rPr>
                <w:i/>
                <w:iCs/>
              </w:rPr>
              <w:t xml:space="preserve">When </w:t>
            </w:r>
            <w:proofErr w:type="spellStart"/>
            <w:r w:rsidRPr="00275362">
              <w:rPr>
                <w:i/>
                <w:iCs/>
              </w:rPr>
              <w:t>eNB</w:t>
            </w:r>
            <w:proofErr w:type="spellEnd"/>
            <w:r w:rsidRPr="00275362">
              <w:rPr>
                <w:i/>
                <w:iCs/>
              </w:rPr>
              <w:t xml:space="preserve"> triggers UE to make GNSS measurements, UE re-acquires GNSS position fix</w:t>
            </w:r>
          </w:p>
          <w:p w14:paraId="36694FA5"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eastAsia="SimSun" w:hAnsi="Arial" w:cs="Arial"/>
                <w:i/>
                <w:iCs/>
              </w:rPr>
            </w:pPr>
            <w:r w:rsidRPr="00275362">
              <w:rPr>
                <w:rFonts w:ascii="Arial" w:eastAsia="SimSun" w:hAnsi="Arial" w:cs="Arial" w:hint="eastAsia"/>
                <w:i/>
                <w:iCs/>
              </w:rPr>
              <w:t>F</w:t>
            </w:r>
            <w:r w:rsidRPr="00275362">
              <w:rPr>
                <w:rFonts w:ascii="Arial" w:eastAsia="SimSun" w:hAnsi="Arial" w:cs="Arial"/>
                <w:i/>
                <w:iCs/>
              </w:rPr>
              <w:t>FS details of signalling</w:t>
            </w:r>
          </w:p>
          <w:p w14:paraId="0121352D"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eastAsia="SimSun" w:hAnsi="Arial" w:cs="Arial"/>
                <w:i/>
                <w:iCs/>
              </w:rPr>
            </w:pPr>
            <w:r w:rsidRPr="00275362">
              <w:rPr>
                <w:rFonts w:ascii="Arial" w:eastAsia="SimSun" w:hAnsi="Arial" w:cs="Arial"/>
                <w:i/>
                <w:iCs/>
              </w:rPr>
              <w:t xml:space="preserve">FFS how UE reports GNSS assistance information after </w:t>
            </w:r>
            <w:proofErr w:type="spellStart"/>
            <w:r w:rsidRPr="00275362">
              <w:rPr>
                <w:rFonts w:ascii="Arial" w:eastAsia="SimSun" w:hAnsi="Arial" w:cs="Arial"/>
                <w:i/>
                <w:iCs/>
              </w:rPr>
              <w:t>eNB</w:t>
            </w:r>
            <w:proofErr w:type="spellEnd"/>
            <w:r w:rsidRPr="00275362">
              <w:rPr>
                <w:rFonts w:ascii="Arial" w:eastAsia="SimSun" w:hAnsi="Arial" w:cs="Arial"/>
                <w:i/>
                <w:iCs/>
              </w:rPr>
              <w:t xml:space="preserve"> trigger and the detailed content</w:t>
            </w:r>
          </w:p>
          <w:p w14:paraId="7201B6B8" w14:textId="77777777" w:rsidR="00FA4598" w:rsidRPr="00180A80" w:rsidRDefault="00FA4598" w:rsidP="00FA4598">
            <w:pPr>
              <w:pStyle w:val="ListParagraph"/>
              <w:numPr>
                <w:ilvl w:val="0"/>
                <w:numId w:val="8"/>
              </w:numPr>
              <w:overflowPunct/>
              <w:autoSpaceDE/>
              <w:autoSpaceDN/>
              <w:adjustRightInd/>
              <w:spacing w:after="160" w:line="259" w:lineRule="auto"/>
              <w:contextualSpacing/>
              <w:jc w:val="left"/>
              <w:textAlignment w:val="auto"/>
            </w:pPr>
            <w:r w:rsidRPr="00275362">
              <w:rPr>
                <w:rFonts w:ascii="Arial" w:eastAsia="SimSun" w:hAnsi="Arial" w:cs="Arial"/>
                <w:i/>
                <w:iCs/>
              </w:rPr>
              <w:t xml:space="preserve">Note: further discuss whether a UE is expected to handle all </w:t>
            </w:r>
            <w:proofErr w:type="spellStart"/>
            <w:r w:rsidRPr="00275362">
              <w:rPr>
                <w:rFonts w:ascii="Arial" w:eastAsia="SimSun" w:hAnsi="Arial" w:cs="Arial"/>
                <w:i/>
                <w:iCs/>
              </w:rPr>
              <w:t>eNB</w:t>
            </w:r>
            <w:proofErr w:type="spellEnd"/>
            <w:r w:rsidRPr="00275362">
              <w:rPr>
                <w:rFonts w:ascii="Arial" w:eastAsia="SimSun" w:hAnsi="Arial" w:cs="Arial"/>
                <w:i/>
                <w:iCs/>
              </w:rPr>
              <w:t xml:space="preserve"> triggers</w:t>
            </w:r>
          </w:p>
        </w:tc>
      </w:tr>
    </w:tbl>
    <w:p w14:paraId="0AEA4966" w14:textId="77777777" w:rsidR="00FA4598" w:rsidRPr="00180A80" w:rsidRDefault="00FA4598" w:rsidP="00FA4598">
      <w:pPr>
        <w:rPr>
          <w:sz w:val="2"/>
          <w:szCs w:val="2"/>
          <w:lang w:val="en-US"/>
        </w:rPr>
      </w:pPr>
    </w:p>
    <w:p w14:paraId="590E8859" w14:textId="77777777" w:rsidR="00FA4598" w:rsidRDefault="00FA4598" w:rsidP="00FA4598">
      <w:pPr>
        <w:rPr>
          <w:lang w:val="en-US"/>
        </w:rPr>
      </w:pPr>
      <w:r w:rsidRPr="00104DFF">
        <w:rPr>
          <w:lang w:val="en-US"/>
        </w:rPr>
        <w:t>This document continues the discussion on improved GNSS operatio</w:t>
      </w:r>
      <w:r>
        <w:rPr>
          <w:lang w:val="en-US"/>
        </w:rPr>
        <w:t>ns</w:t>
      </w:r>
      <w:r w:rsidRPr="00104DFF">
        <w:rPr>
          <w:lang w:val="en-US"/>
        </w:rPr>
        <w:t>.</w:t>
      </w:r>
      <w:r>
        <w:rPr>
          <w:lang w:val="en-US"/>
        </w:rPr>
        <w:t xml:space="preserve"> Specifically,</w:t>
      </w:r>
      <w:r w:rsidRPr="00104DFF">
        <w:rPr>
          <w:lang w:val="en-US"/>
        </w:rPr>
        <w:t xml:space="preserve"> </w:t>
      </w:r>
      <w:r>
        <w:rPr>
          <w:lang w:val="en-US"/>
        </w:rPr>
        <w:t>signaling details for GNSS assistance information to support measurement gap configuration for GNSS acquisition, as well as a method to prohibit excessive GNSS acquisition and reporting.</w:t>
      </w:r>
    </w:p>
    <w:p w14:paraId="1D91A450" w14:textId="77777777" w:rsidR="00FA4598" w:rsidRDefault="00FA4598" w:rsidP="00FA4598">
      <w:pPr>
        <w:pStyle w:val="Heading1"/>
      </w:pPr>
      <w:r>
        <w:lastRenderedPageBreak/>
        <w:t>GNSS acquisition and reporting in IoT NTN</w:t>
      </w:r>
    </w:p>
    <w:p w14:paraId="77594CB4" w14:textId="77777777" w:rsidR="00FA4598" w:rsidRDefault="00FA4598" w:rsidP="00FA4598">
      <w:pPr>
        <w:spacing w:line="276" w:lineRule="auto"/>
        <w:rPr>
          <w:lang w:eastAsia="ko-KR"/>
        </w:rPr>
      </w:pPr>
      <w:r>
        <w:rPr>
          <w:lang w:eastAsia="ko-KR"/>
        </w:rPr>
        <w:t>Acquisition of GNSS is a time and power intensive process, which is particularly an issue for devices where low power consumption is a key concern. Furthermore, a subset of these devices (</w:t>
      </w:r>
      <w:proofErr w:type="gramStart"/>
      <w:r>
        <w:rPr>
          <w:lang w:eastAsia="ko-KR"/>
        </w:rPr>
        <w:t>e.g.</w:t>
      </w:r>
      <w:proofErr w:type="gramEnd"/>
      <w:r>
        <w:rPr>
          <w:lang w:eastAsia="ko-KR"/>
        </w:rPr>
        <w:t xml:space="preserve"> NB-IoT) may not capable of simultaneously supporting GNSS acquisition and data transmission/reception, so additional consideration must be given to trade off throughput vs. updated GNSS information.</w:t>
      </w:r>
    </w:p>
    <w:p w14:paraId="37E085B5" w14:textId="77777777" w:rsidR="00FA4598" w:rsidRDefault="00FA4598" w:rsidP="00FA4598">
      <w:pPr>
        <w:spacing w:line="276" w:lineRule="auto"/>
      </w:pPr>
      <w:r>
        <w:rPr>
          <w:lang w:eastAsia="ko-KR"/>
        </w:rPr>
        <w:t>In Release 17 i</w:t>
      </w:r>
      <w:r w:rsidRPr="0060726C">
        <w:rPr>
          <w:lang w:eastAsia="ko-KR"/>
        </w:rPr>
        <w:t>t was assumed that NTN IoT operation would be limited to short and sporadic traffic</w:t>
      </w:r>
      <w:r>
        <w:rPr>
          <w:lang w:eastAsia="ko-KR"/>
        </w:rPr>
        <w:t>.</w:t>
      </w:r>
      <w:r w:rsidRPr="0060726C">
        <w:rPr>
          <w:lang w:eastAsia="ko-KR"/>
        </w:rPr>
        <w:t xml:space="preserve"> </w:t>
      </w:r>
      <w:r>
        <w:rPr>
          <w:lang w:eastAsia="ko-KR"/>
        </w:rPr>
        <w:t xml:space="preserve">Few </w:t>
      </w:r>
      <w:r w:rsidRPr="0060726C">
        <w:rPr>
          <w:lang w:eastAsia="ko-KR"/>
        </w:rPr>
        <w:t xml:space="preserve">enhancements were </w:t>
      </w:r>
      <w:r>
        <w:rPr>
          <w:lang w:eastAsia="ko-KR"/>
        </w:rPr>
        <w:t>therefore needed/</w:t>
      </w:r>
      <w:r w:rsidRPr="0060726C">
        <w:rPr>
          <w:lang w:eastAsia="ko-KR"/>
        </w:rPr>
        <w:t xml:space="preserve">adopted to reduce </w:t>
      </w:r>
      <w:r>
        <w:rPr>
          <w:lang w:eastAsia="ko-KR"/>
        </w:rPr>
        <w:t xml:space="preserve">GNSS acquisition </w:t>
      </w:r>
      <w:r w:rsidRPr="0060726C">
        <w:rPr>
          <w:lang w:eastAsia="ko-KR"/>
        </w:rPr>
        <w:t>time</w:t>
      </w:r>
      <w:r>
        <w:rPr>
          <w:lang w:eastAsia="ko-KR"/>
        </w:rPr>
        <w:t xml:space="preserve"> since it was unlikely that a scheduled transmission/reception would overlap with GNSS acquisition</w:t>
      </w:r>
      <w:r>
        <w:t xml:space="preserve">. </w:t>
      </w:r>
      <w:r w:rsidRPr="006D5767">
        <w:t>Rel</w:t>
      </w:r>
      <w:r>
        <w:t xml:space="preserve">ease </w:t>
      </w:r>
      <w:r w:rsidRPr="006D5767">
        <w:t>18 IoT NTN removes the assumption of short-sporadic traffic</w:t>
      </w:r>
      <w:r>
        <w:t xml:space="preserve">, and although throughput is </w:t>
      </w:r>
      <w:r w:rsidRPr="006D5767">
        <w:t>increas</w:t>
      </w:r>
      <w:r>
        <w:t>ed, so is the</w:t>
      </w:r>
      <w:r w:rsidRPr="006D5767">
        <w:t xml:space="preserve"> probability of collision between the GNSS acquisition window and UL transmission/DL receptions</w:t>
      </w:r>
      <w:r>
        <w:t xml:space="preserve"> as shown below:</w:t>
      </w:r>
    </w:p>
    <w:p w14:paraId="3B765562" w14:textId="77777777" w:rsidR="00FA4598" w:rsidRDefault="00FA4598" w:rsidP="00FA4598">
      <w:pPr>
        <w:spacing w:line="276" w:lineRule="auto"/>
        <w:jc w:val="center"/>
      </w:pPr>
      <w:r>
        <w:rPr>
          <w:noProof/>
        </w:rPr>
        <w:drawing>
          <wp:inline distT="0" distB="0" distL="0" distR="0" wp14:anchorId="76415546" wp14:editId="43715052">
            <wp:extent cx="4848045" cy="1302653"/>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0"/>
                    <a:stretch>
                      <a:fillRect/>
                    </a:stretch>
                  </pic:blipFill>
                  <pic:spPr>
                    <a:xfrm>
                      <a:off x="0" y="0"/>
                      <a:ext cx="4867919" cy="1307993"/>
                    </a:xfrm>
                    <a:prstGeom prst="rect">
                      <a:avLst/>
                    </a:prstGeom>
                  </pic:spPr>
                </pic:pic>
              </a:graphicData>
            </a:graphic>
          </wp:inline>
        </w:drawing>
      </w:r>
    </w:p>
    <w:p w14:paraId="45B66845" w14:textId="77777777" w:rsidR="00FA4598" w:rsidRDefault="00FA4598" w:rsidP="00FA4598">
      <w:pPr>
        <w:spacing w:line="276" w:lineRule="auto"/>
        <w:jc w:val="center"/>
      </w:pPr>
      <w:r>
        <w:rPr>
          <w:b/>
          <w:bCs/>
        </w:rPr>
        <w:t xml:space="preserve">Figure 1: </w:t>
      </w:r>
      <w:r w:rsidRPr="0088466C">
        <w:t xml:space="preserve">Rel-18 IoT </w:t>
      </w:r>
      <w:r>
        <w:t xml:space="preserve">NTN </w:t>
      </w:r>
      <w:r w:rsidRPr="0088466C">
        <w:t xml:space="preserve">devices </w:t>
      </w:r>
      <w:r>
        <w:t xml:space="preserve">supporting </w:t>
      </w:r>
      <w:r w:rsidRPr="0088466C">
        <w:t>longer &amp; more frequent traffic can impact GNSS acquisition.</w:t>
      </w:r>
    </w:p>
    <w:p w14:paraId="01CAE67A" w14:textId="77777777" w:rsidR="00FA4598" w:rsidRDefault="00FA4598" w:rsidP="00836781">
      <w:pPr>
        <w:pStyle w:val="Heading2"/>
      </w:pPr>
      <w:r>
        <w:t xml:space="preserve">GNSS </w:t>
      </w:r>
      <w:r w:rsidRPr="006A4382">
        <w:t>assistance information</w:t>
      </w:r>
    </w:p>
    <w:p w14:paraId="5FF88DC4" w14:textId="77777777" w:rsidR="00FA4598" w:rsidRPr="000F3C8B" w:rsidRDefault="00FA4598" w:rsidP="00FA4598">
      <w:pPr>
        <w:spacing w:line="276" w:lineRule="auto"/>
      </w:pPr>
      <w:r>
        <w:t>To support higher traffic environments, RAN1 has agreed to introduce assistance information to facilitate measurement gap configuration for GNSS acquisition. Signalling details, how information is reported, and the detailed content of the report are currently listed as for further study, however GNSS assistance information includes at least the following:</w:t>
      </w:r>
    </w:p>
    <w:p w14:paraId="5D6381EE" w14:textId="77777777" w:rsidR="00FA4598" w:rsidRPr="00D32EE3" w:rsidRDefault="00FA4598" w:rsidP="00FA4598">
      <w:pPr>
        <w:numPr>
          <w:ilvl w:val="0"/>
          <w:numId w:val="7"/>
        </w:numPr>
        <w:rPr>
          <w:bCs/>
          <w:iCs/>
          <w:lang w:eastAsia="x-none"/>
        </w:rPr>
      </w:pPr>
      <w:r w:rsidRPr="00D32EE3">
        <w:rPr>
          <w:rFonts w:eastAsia="SimSun"/>
          <w:bCs/>
          <w:iCs/>
        </w:rPr>
        <w:t xml:space="preserve">GNSS position fix time duration for measurement </w:t>
      </w:r>
    </w:p>
    <w:p w14:paraId="4D7C5D41" w14:textId="77777777" w:rsidR="00FA4598" w:rsidRPr="00D32EE3" w:rsidRDefault="00FA4598" w:rsidP="00FA4598">
      <w:pPr>
        <w:numPr>
          <w:ilvl w:val="0"/>
          <w:numId w:val="7"/>
        </w:numPr>
        <w:rPr>
          <w:bCs/>
          <w:iCs/>
        </w:rPr>
      </w:pPr>
      <w:r w:rsidRPr="00D32EE3">
        <w:rPr>
          <w:bCs/>
          <w:iCs/>
        </w:rPr>
        <w:t xml:space="preserve">GNSS validity duration </w:t>
      </w:r>
    </w:p>
    <w:p w14:paraId="37125FA1" w14:textId="77777777" w:rsidR="00FA4598" w:rsidRPr="00882A45" w:rsidRDefault="00FA4598" w:rsidP="00FA4598">
      <w:pPr>
        <w:spacing w:line="276" w:lineRule="auto"/>
      </w:pPr>
      <w:r>
        <w:t>Signalling GNSS assistance information could be either via RRC signalling (e.g., via the UE information request/response procedure) or via a new MAC CE. S</w:t>
      </w:r>
      <w:proofErr w:type="spellStart"/>
      <w:r>
        <w:rPr>
          <w:lang w:val="en-US"/>
        </w:rPr>
        <w:t>ince</w:t>
      </w:r>
      <w:proofErr w:type="spellEnd"/>
      <w:r>
        <w:rPr>
          <w:lang w:val="en-US"/>
        </w:rPr>
        <w:t xml:space="preserve"> AS security is required to avoid compromising UE position,</w:t>
      </w:r>
      <w:r>
        <w:t xml:space="preserve"> IoT currently reports </w:t>
      </w:r>
      <w:r>
        <w:rPr>
          <w:lang w:val="en-US"/>
        </w:rPr>
        <w:t>GNSS location information via RRC signaling. However, the contents of GNSS assistance information (</w:t>
      </w:r>
      <w:r w:rsidRPr="00603508">
        <w:rPr>
          <w:lang w:val="en-US"/>
        </w:rPr>
        <w:t>i.e., position fix time duration and validity duration)</w:t>
      </w:r>
      <w:r>
        <w:rPr>
          <w:lang w:val="en-US"/>
        </w:rPr>
        <w:t xml:space="preserve"> do not provide any indication of the UE’s actual position, so do not require the same level of protection.</w:t>
      </w:r>
    </w:p>
    <w:p w14:paraId="56EB753C" w14:textId="77777777" w:rsidR="00FA4598" w:rsidRPr="00BA4F5C" w:rsidRDefault="00FA4598" w:rsidP="00FA4598">
      <w:pPr>
        <w:ind w:left="1440" w:hanging="1440"/>
        <w:rPr>
          <w:i/>
          <w:iCs/>
          <w:lang w:val="en-US"/>
        </w:rPr>
      </w:pPr>
      <w:r w:rsidRPr="00BA4F5C">
        <w:rPr>
          <w:i/>
          <w:iCs/>
          <w:lang w:val="en-US"/>
        </w:rPr>
        <w:t xml:space="preserve">Observation </w:t>
      </w:r>
      <w:r>
        <w:rPr>
          <w:i/>
          <w:iCs/>
          <w:lang w:val="en-US"/>
        </w:rPr>
        <w:t>1</w:t>
      </w:r>
      <w:r w:rsidRPr="00BA4F5C">
        <w:rPr>
          <w:i/>
          <w:iCs/>
          <w:lang w:val="en-US"/>
        </w:rPr>
        <w:t>:</w:t>
      </w:r>
      <w:r w:rsidRPr="00BA4F5C">
        <w:rPr>
          <w:i/>
          <w:iCs/>
          <w:lang w:val="en-US"/>
        </w:rPr>
        <w:tab/>
      </w:r>
      <w:r>
        <w:rPr>
          <w:i/>
          <w:iCs/>
          <w:lang w:val="en-US"/>
        </w:rPr>
        <w:t>Unlike GNSS</w:t>
      </w:r>
      <w:r w:rsidRPr="0028309C">
        <w:rPr>
          <w:i/>
          <w:iCs/>
          <w:lang w:val="en-US"/>
        </w:rPr>
        <w:t xml:space="preserve"> location</w:t>
      </w:r>
      <w:r>
        <w:rPr>
          <w:i/>
          <w:iCs/>
          <w:lang w:val="en-US"/>
        </w:rPr>
        <w:t xml:space="preserve"> information, GNSS assistance information (i.e., </w:t>
      </w:r>
      <w:r w:rsidRPr="00BA4F5C">
        <w:rPr>
          <w:i/>
          <w:iCs/>
          <w:lang w:val="en-US"/>
        </w:rPr>
        <w:t xml:space="preserve">position fix time duration </w:t>
      </w:r>
      <w:r>
        <w:rPr>
          <w:i/>
          <w:iCs/>
          <w:lang w:val="en-US"/>
        </w:rPr>
        <w:t>and validity duration) does not require AS security since it provides no indication of the UE’s actual position.</w:t>
      </w:r>
    </w:p>
    <w:p w14:paraId="21FD5F28" w14:textId="77777777" w:rsidR="00FA4598" w:rsidRPr="00D00720" w:rsidRDefault="00FA4598" w:rsidP="00FA4598">
      <w:pPr>
        <w:rPr>
          <w:lang w:val="en-US"/>
        </w:rPr>
      </w:pPr>
      <w:r>
        <w:rPr>
          <w:lang w:val="en-US"/>
        </w:rPr>
        <w:t>GNSS assistance information may also change dynamically based on UE characteristics. For example, the GNSS position fix time may vary depending on UE surroundings (e.g., an indoor UE or a UE surrounded by tall trees/buildings may take longer to acquire GNSS than a UE in open space). Similarly, the GNSS validity duration may also vary dynamically, for example, depending on UE speed (e.g., a low mobility or stationary UE may have a longer validity duration than a highly mobile UE).</w:t>
      </w:r>
    </w:p>
    <w:p w14:paraId="10384BA3" w14:textId="77777777" w:rsidR="00FA4598" w:rsidRPr="00BA4F5C" w:rsidRDefault="00FA4598" w:rsidP="00FA4598">
      <w:pPr>
        <w:ind w:left="1440" w:hanging="1440"/>
        <w:rPr>
          <w:i/>
          <w:iCs/>
          <w:lang w:val="en-US"/>
        </w:rPr>
      </w:pPr>
      <w:r w:rsidRPr="00BA4F5C">
        <w:rPr>
          <w:i/>
          <w:iCs/>
          <w:lang w:val="en-US"/>
        </w:rPr>
        <w:t xml:space="preserve">Observation </w:t>
      </w:r>
      <w:r>
        <w:rPr>
          <w:i/>
          <w:iCs/>
          <w:lang w:val="en-US"/>
        </w:rPr>
        <w:t>2</w:t>
      </w:r>
      <w:r w:rsidRPr="00BA4F5C">
        <w:rPr>
          <w:i/>
          <w:iCs/>
          <w:lang w:val="en-US"/>
        </w:rPr>
        <w:t>:</w:t>
      </w:r>
      <w:r w:rsidRPr="00BA4F5C">
        <w:rPr>
          <w:i/>
          <w:iCs/>
          <w:lang w:val="en-US"/>
        </w:rPr>
        <w:tab/>
      </w:r>
      <w:r>
        <w:rPr>
          <w:i/>
          <w:iCs/>
          <w:lang w:val="en-US"/>
        </w:rPr>
        <w:t>Semi-static signaling (</w:t>
      </w:r>
      <w:proofErr w:type="gramStart"/>
      <w:r>
        <w:rPr>
          <w:i/>
          <w:iCs/>
          <w:lang w:val="en-US"/>
        </w:rPr>
        <w:t>e.g.</w:t>
      </w:r>
      <w:proofErr w:type="gramEnd"/>
      <w:r>
        <w:rPr>
          <w:i/>
          <w:iCs/>
          <w:lang w:val="en-US"/>
        </w:rPr>
        <w:t xml:space="preserve"> RRC) may not be suitable to report GNSS assistance information since </w:t>
      </w:r>
      <w:r w:rsidRPr="00BA4F5C">
        <w:rPr>
          <w:i/>
          <w:iCs/>
          <w:lang w:val="en-US"/>
        </w:rPr>
        <w:t xml:space="preserve">position fix time duration </w:t>
      </w:r>
      <w:r>
        <w:rPr>
          <w:i/>
          <w:iCs/>
          <w:lang w:val="en-US"/>
        </w:rPr>
        <w:t xml:space="preserve">and validity duration can vary dynamically based on UE characteristics (e.g. surroundings, UE speed). </w:t>
      </w:r>
    </w:p>
    <w:p w14:paraId="5ABA7857" w14:textId="77777777" w:rsidR="00FA4598" w:rsidRPr="00BA4F5C" w:rsidRDefault="00FA4598" w:rsidP="00FA4598">
      <w:pPr>
        <w:rPr>
          <w:lang w:val="en-US"/>
        </w:rPr>
      </w:pPr>
      <w:r>
        <w:rPr>
          <w:lang w:val="en-US"/>
        </w:rPr>
        <w:t>Considering the dynamic nature of GNSS assistance information, introducing a new MAC CE seems a more suitable choice than RRC signaling due to the faster nature of MAC signaling.</w:t>
      </w:r>
    </w:p>
    <w:p w14:paraId="3EA7906D" w14:textId="77777777" w:rsidR="00FA4598" w:rsidRDefault="00FA4598" w:rsidP="00FA4598">
      <w:pPr>
        <w:ind w:left="1440" w:hanging="1440"/>
        <w:rPr>
          <w:b/>
          <w:bCs/>
        </w:rPr>
      </w:pPr>
      <w:r>
        <w:rPr>
          <w:b/>
          <w:bCs/>
        </w:rPr>
        <w:lastRenderedPageBreak/>
        <w:t>Proposal 1:</w:t>
      </w:r>
      <w:r>
        <w:rPr>
          <w:b/>
          <w:bCs/>
        </w:rPr>
        <w:tab/>
        <w:t>Introduce a new GNSS assistance information MAC CE, which contains at least GNSS position fix time and validity duration.</w:t>
      </w:r>
    </w:p>
    <w:p w14:paraId="3D5C71E0" w14:textId="77777777" w:rsidR="00FA4598" w:rsidRPr="00E12538" w:rsidRDefault="00FA4598" w:rsidP="00FA4598">
      <w:pPr>
        <w:ind w:left="1440" w:hanging="1440"/>
      </w:pPr>
      <w:r>
        <w:t>Referring to RAN1 agreements, the following is captured regarding GNSS assistance information reporting:</w:t>
      </w:r>
    </w:p>
    <w:p w14:paraId="1E8974C5" w14:textId="77777777" w:rsidR="00FA4598" w:rsidRPr="00275362" w:rsidRDefault="00FA4598" w:rsidP="00FA4598">
      <w:pPr>
        <w:pStyle w:val="ListParagraph"/>
        <w:numPr>
          <w:ilvl w:val="0"/>
          <w:numId w:val="8"/>
        </w:numPr>
        <w:overflowPunct/>
        <w:autoSpaceDE/>
        <w:autoSpaceDN/>
        <w:adjustRightInd/>
        <w:spacing w:after="160" w:line="259" w:lineRule="auto"/>
        <w:contextualSpacing/>
        <w:jc w:val="left"/>
        <w:textAlignment w:val="auto"/>
        <w:rPr>
          <w:rFonts w:ascii="Arial" w:eastAsia="SimSun" w:hAnsi="Arial" w:cs="Arial"/>
          <w:i/>
          <w:iCs/>
        </w:rPr>
      </w:pPr>
      <w:r w:rsidRPr="00275362">
        <w:rPr>
          <w:rFonts w:ascii="Arial" w:eastAsia="SimSun" w:hAnsi="Arial" w:cs="Arial"/>
          <w:i/>
          <w:iCs/>
        </w:rPr>
        <w:t xml:space="preserve">FFS how UE reports GNSS assistance information </w:t>
      </w:r>
      <w:r w:rsidRPr="00F14355">
        <w:rPr>
          <w:rFonts w:ascii="Arial" w:eastAsia="SimSun" w:hAnsi="Arial" w:cs="Arial"/>
          <w:i/>
          <w:iCs/>
          <w:u w:val="single"/>
        </w:rPr>
        <w:t xml:space="preserve">after </w:t>
      </w:r>
      <w:proofErr w:type="spellStart"/>
      <w:r w:rsidRPr="00F14355">
        <w:rPr>
          <w:rFonts w:ascii="Arial" w:eastAsia="SimSun" w:hAnsi="Arial" w:cs="Arial"/>
          <w:i/>
          <w:iCs/>
          <w:u w:val="single"/>
        </w:rPr>
        <w:t>eNB</w:t>
      </w:r>
      <w:proofErr w:type="spellEnd"/>
      <w:r w:rsidRPr="00F14355">
        <w:rPr>
          <w:rFonts w:ascii="Arial" w:eastAsia="SimSun" w:hAnsi="Arial" w:cs="Arial"/>
          <w:i/>
          <w:iCs/>
          <w:u w:val="single"/>
        </w:rPr>
        <w:t xml:space="preserve"> trigger</w:t>
      </w:r>
      <w:r w:rsidRPr="00275362">
        <w:rPr>
          <w:rFonts w:ascii="Arial" w:eastAsia="SimSun" w:hAnsi="Arial" w:cs="Arial"/>
          <w:i/>
          <w:iCs/>
        </w:rPr>
        <w:t xml:space="preserve"> and the detailed content</w:t>
      </w:r>
    </w:p>
    <w:p w14:paraId="1A516D9B" w14:textId="77777777" w:rsidR="00FA4598" w:rsidRPr="00EE3D6B" w:rsidRDefault="00FA4598" w:rsidP="00FA4598">
      <w:pPr>
        <w:rPr>
          <w:lang w:val="en-US"/>
        </w:rPr>
      </w:pPr>
      <w:r>
        <w:rPr>
          <w:lang w:val="en-US"/>
        </w:rPr>
        <w:t xml:space="preserve">Based on the </w:t>
      </w:r>
      <w:r w:rsidRPr="009A1B55">
        <w:rPr>
          <w:u w:val="single"/>
          <w:lang w:val="en-US"/>
        </w:rPr>
        <w:t>underlined</w:t>
      </w:r>
      <w:r>
        <w:rPr>
          <w:lang w:val="en-US"/>
        </w:rPr>
        <w:t xml:space="preserve"> portion of the agreement, it seems that GNSS assistance information is at least reported based on network trigger (e.g., upon reception of NW request). Although, as previously described, the GNSS assistance information may vary dynamically based on the UE circumstances, and the network may not be aware of when the UE circumstances changes. It may therefore be necessary to support additional triggering conditions for GNSS assistance information reporting which are evaluated by the UE. For example, the UE may trigger GNSS assistance information if the UE detects that the GNSS validity duration changes by a configured threshold (e.g., due to a change in UE speed).</w:t>
      </w:r>
    </w:p>
    <w:p w14:paraId="40E68416" w14:textId="77777777" w:rsidR="00FA4598" w:rsidRDefault="00FA4598" w:rsidP="00FA4598">
      <w:pPr>
        <w:ind w:left="1440" w:hanging="1440"/>
        <w:rPr>
          <w:b/>
          <w:bCs/>
        </w:rPr>
      </w:pPr>
      <w:r>
        <w:rPr>
          <w:b/>
          <w:bCs/>
        </w:rPr>
        <w:t>Proposal 2:</w:t>
      </w:r>
      <w:r>
        <w:rPr>
          <w:b/>
          <w:bCs/>
        </w:rPr>
        <w:tab/>
        <w:t>GNSS assistance information is at least reported upon NW request. FFS other reporting trigger conditions.</w:t>
      </w:r>
    </w:p>
    <w:p w14:paraId="66662358" w14:textId="77777777" w:rsidR="00FA4598" w:rsidRPr="00473353" w:rsidRDefault="00FA4598" w:rsidP="006A4382">
      <w:pPr>
        <w:pStyle w:val="Heading2"/>
      </w:pPr>
      <w:r>
        <w:t>Reduction of excessive GNSS acquisition and reporting</w:t>
      </w:r>
    </w:p>
    <w:p w14:paraId="7766E1A0" w14:textId="77777777" w:rsidR="00FA4598" w:rsidRDefault="00FA4598" w:rsidP="00FA4598">
      <w:pPr>
        <w:spacing w:line="276" w:lineRule="auto"/>
      </w:pPr>
      <w:r>
        <w:t xml:space="preserve">Acquisition of GNSS may take considerable time and UE power consumption depending on aspects like UE capability and required accuracy. This may be especially important in IoT NTN scenarios, where devices may need to suspend transmission/reception to acquire GNSS (resulting in lower throughput), and where reduction of UE power consumption is an important consideration. </w:t>
      </w:r>
    </w:p>
    <w:p w14:paraId="40EA9E3A" w14:textId="77777777" w:rsidR="00FA4598" w:rsidRPr="00BA4F5C" w:rsidRDefault="00FA4598" w:rsidP="00FA4598">
      <w:pPr>
        <w:ind w:left="1440" w:hanging="1440"/>
        <w:rPr>
          <w:i/>
          <w:iCs/>
          <w:lang w:val="en-US"/>
        </w:rPr>
      </w:pPr>
      <w:r w:rsidRPr="00BA4F5C">
        <w:rPr>
          <w:i/>
          <w:iCs/>
          <w:lang w:val="en-US"/>
        </w:rPr>
        <w:t xml:space="preserve">Observation </w:t>
      </w:r>
      <w:r>
        <w:rPr>
          <w:i/>
          <w:iCs/>
          <w:lang w:val="en-US"/>
        </w:rPr>
        <w:t>3</w:t>
      </w:r>
      <w:r w:rsidRPr="00BA4F5C">
        <w:rPr>
          <w:i/>
          <w:iCs/>
          <w:lang w:val="en-US"/>
        </w:rPr>
        <w:t>:</w:t>
      </w:r>
      <w:r w:rsidRPr="00BA4F5C">
        <w:rPr>
          <w:i/>
          <w:iCs/>
          <w:lang w:val="en-US"/>
        </w:rPr>
        <w:tab/>
      </w:r>
      <w:r>
        <w:rPr>
          <w:i/>
          <w:iCs/>
          <w:lang w:val="en-US"/>
        </w:rPr>
        <w:t xml:space="preserve">Excessive acquisition and reporting of GNSS information can lead to unnecessary power consumption and lower throughput. </w:t>
      </w:r>
    </w:p>
    <w:p w14:paraId="03C4EE84" w14:textId="77777777" w:rsidR="00FA4598" w:rsidRDefault="00FA4598" w:rsidP="00FA4598">
      <w:pPr>
        <w:spacing w:line="276" w:lineRule="auto"/>
      </w:pPr>
      <w:r>
        <w:t xml:space="preserve">RAN1 has previously noted that it is still for further study whether a UE is expected to handle all </w:t>
      </w:r>
      <w:proofErr w:type="spellStart"/>
      <w:r>
        <w:t>eNB</w:t>
      </w:r>
      <w:proofErr w:type="spellEnd"/>
      <w:r>
        <w:t xml:space="preserve"> triggers for GNSS acquisition and reporting. One straightforward way to avoid excessive reporting would be a network configured prohibit timer, which could be (re)started upon acquisition of GNSS or transmission of GNSS report. The duration of the prohibit timer could be related to the GNSS validity duration, and while running the UE may not acquire or report GNSS information.</w:t>
      </w:r>
    </w:p>
    <w:p w14:paraId="34FEF075" w14:textId="77777777" w:rsidR="00FA4598" w:rsidRPr="001F2DCB" w:rsidRDefault="00FA4598" w:rsidP="00FA4598">
      <w:pPr>
        <w:ind w:left="1440" w:hanging="1440"/>
        <w:rPr>
          <w:b/>
          <w:bCs/>
        </w:rPr>
      </w:pPr>
      <w:r>
        <w:rPr>
          <w:b/>
          <w:bCs/>
        </w:rPr>
        <w:t>Proposal 3:</w:t>
      </w:r>
      <w:r>
        <w:rPr>
          <w:b/>
          <w:bCs/>
        </w:rPr>
        <w:tab/>
        <w:t>Introduce a new prohibit timer to prevent excessive acquisition and reporting of GNSS information.</w:t>
      </w:r>
    </w:p>
    <w:p w14:paraId="335B7C51" w14:textId="77777777" w:rsidR="00FA4598" w:rsidRPr="004A1A95" w:rsidRDefault="00FA4598" w:rsidP="00FA4598">
      <w:pPr>
        <w:pStyle w:val="Heading1"/>
      </w:pPr>
      <w:r w:rsidRPr="004A1A95">
        <w:t>Conclusion</w:t>
      </w:r>
    </w:p>
    <w:p w14:paraId="57BCF1A9" w14:textId="77777777" w:rsidR="00FA4598" w:rsidRDefault="00FA4598" w:rsidP="00FA4598">
      <w:pPr>
        <w:tabs>
          <w:tab w:val="left" w:pos="0"/>
        </w:tabs>
      </w:pPr>
      <w:r>
        <w:t>In this contribution the following observations and proposals were made concerning enhanced GNSS operation for IoT NTN devices:</w:t>
      </w:r>
    </w:p>
    <w:p w14:paraId="5EF34747" w14:textId="77777777" w:rsidR="00836781" w:rsidRPr="00BA4F5C" w:rsidRDefault="00836781" w:rsidP="00836781">
      <w:pPr>
        <w:ind w:left="1440" w:hanging="1440"/>
        <w:rPr>
          <w:i/>
          <w:iCs/>
          <w:lang w:val="en-US"/>
        </w:rPr>
      </w:pPr>
      <w:r w:rsidRPr="00BA4F5C">
        <w:rPr>
          <w:i/>
          <w:iCs/>
          <w:lang w:val="en-US"/>
        </w:rPr>
        <w:t xml:space="preserve">Observation </w:t>
      </w:r>
      <w:r>
        <w:rPr>
          <w:i/>
          <w:iCs/>
          <w:lang w:val="en-US"/>
        </w:rPr>
        <w:t>1</w:t>
      </w:r>
      <w:r w:rsidRPr="00BA4F5C">
        <w:rPr>
          <w:i/>
          <w:iCs/>
          <w:lang w:val="en-US"/>
        </w:rPr>
        <w:t>:</w:t>
      </w:r>
      <w:r w:rsidRPr="00BA4F5C">
        <w:rPr>
          <w:i/>
          <w:iCs/>
          <w:lang w:val="en-US"/>
        </w:rPr>
        <w:tab/>
      </w:r>
      <w:r>
        <w:rPr>
          <w:i/>
          <w:iCs/>
          <w:lang w:val="en-US"/>
        </w:rPr>
        <w:t>Unlike GNSS</w:t>
      </w:r>
      <w:r w:rsidRPr="0028309C">
        <w:rPr>
          <w:i/>
          <w:iCs/>
          <w:lang w:val="en-US"/>
        </w:rPr>
        <w:t xml:space="preserve"> location</w:t>
      </w:r>
      <w:r>
        <w:rPr>
          <w:i/>
          <w:iCs/>
          <w:lang w:val="en-US"/>
        </w:rPr>
        <w:t xml:space="preserve"> information, GNSS assistance information (i.e., </w:t>
      </w:r>
      <w:r w:rsidRPr="00BA4F5C">
        <w:rPr>
          <w:i/>
          <w:iCs/>
          <w:lang w:val="en-US"/>
        </w:rPr>
        <w:t xml:space="preserve">position fix time duration </w:t>
      </w:r>
      <w:r>
        <w:rPr>
          <w:i/>
          <w:iCs/>
          <w:lang w:val="en-US"/>
        </w:rPr>
        <w:t>and validity duration) does not require AS security since it provides no indication of the UE’s actual position.</w:t>
      </w:r>
    </w:p>
    <w:p w14:paraId="112A9AB5" w14:textId="0E4E4245" w:rsidR="00836781" w:rsidRDefault="00836781" w:rsidP="00836781">
      <w:pPr>
        <w:ind w:left="1440" w:hanging="1440"/>
        <w:rPr>
          <w:i/>
          <w:iCs/>
          <w:lang w:val="en-US"/>
        </w:rPr>
      </w:pPr>
      <w:r w:rsidRPr="00BA4F5C">
        <w:rPr>
          <w:i/>
          <w:iCs/>
          <w:lang w:val="en-US"/>
        </w:rPr>
        <w:t xml:space="preserve">Observation </w:t>
      </w:r>
      <w:r>
        <w:rPr>
          <w:i/>
          <w:iCs/>
          <w:lang w:val="en-US"/>
        </w:rPr>
        <w:t>2</w:t>
      </w:r>
      <w:r w:rsidRPr="00BA4F5C">
        <w:rPr>
          <w:i/>
          <w:iCs/>
          <w:lang w:val="en-US"/>
        </w:rPr>
        <w:t>:</w:t>
      </w:r>
      <w:r w:rsidRPr="00BA4F5C">
        <w:rPr>
          <w:i/>
          <w:iCs/>
          <w:lang w:val="en-US"/>
        </w:rPr>
        <w:tab/>
      </w:r>
      <w:r>
        <w:rPr>
          <w:i/>
          <w:iCs/>
          <w:lang w:val="en-US"/>
        </w:rPr>
        <w:t>Semi-static signaling (</w:t>
      </w:r>
      <w:proofErr w:type="gramStart"/>
      <w:r>
        <w:rPr>
          <w:i/>
          <w:iCs/>
          <w:lang w:val="en-US"/>
        </w:rPr>
        <w:t>e.g.</w:t>
      </w:r>
      <w:proofErr w:type="gramEnd"/>
      <w:r>
        <w:rPr>
          <w:i/>
          <w:iCs/>
          <w:lang w:val="en-US"/>
        </w:rPr>
        <w:t xml:space="preserve"> RRC) may not be suitable to report GNSS assistance information since </w:t>
      </w:r>
      <w:r w:rsidRPr="00BA4F5C">
        <w:rPr>
          <w:i/>
          <w:iCs/>
          <w:lang w:val="en-US"/>
        </w:rPr>
        <w:t xml:space="preserve">position fix time duration </w:t>
      </w:r>
      <w:r>
        <w:rPr>
          <w:i/>
          <w:iCs/>
          <w:lang w:val="en-US"/>
        </w:rPr>
        <w:t xml:space="preserve">and validity duration can vary dynamically based on UE characteristics (e.g. surroundings, UE speed). </w:t>
      </w:r>
    </w:p>
    <w:p w14:paraId="331655C8" w14:textId="77777777" w:rsidR="00836781" w:rsidRPr="00BA4F5C" w:rsidRDefault="00836781" w:rsidP="00836781">
      <w:pPr>
        <w:ind w:left="1440" w:hanging="1440"/>
        <w:rPr>
          <w:i/>
          <w:iCs/>
          <w:lang w:val="en-US"/>
        </w:rPr>
      </w:pPr>
      <w:r w:rsidRPr="00BA4F5C">
        <w:rPr>
          <w:i/>
          <w:iCs/>
          <w:lang w:val="en-US"/>
        </w:rPr>
        <w:t xml:space="preserve">Observation </w:t>
      </w:r>
      <w:r>
        <w:rPr>
          <w:i/>
          <w:iCs/>
          <w:lang w:val="en-US"/>
        </w:rPr>
        <w:t>3</w:t>
      </w:r>
      <w:r w:rsidRPr="00BA4F5C">
        <w:rPr>
          <w:i/>
          <w:iCs/>
          <w:lang w:val="en-US"/>
        </w:rPr>
        <w:t>:</w:t>
      </w:r>
      <w:r w:rsidRPr="00BA4F5C">
        <w:rPr>
          <w:i/>
          <w:iCs/>
          <w:lang w:val="en-US"/>
        </w:rPr>
        <w:tab/>
      </w:r>
      <w:r>
        <w:rPr>
          <w:i/>
          <w:iCs/>
          <w:lang w:val="en-US"/>
        </w:rPr>
        <w:t xml:space="preserve">Excessive acquisition and reporting of GNSS information can lead to unnecessary power consumption and lower throughput. </w:t>
      </w:r>
    </w:p>
    <w:p w14:paraId="36E74FE4" w14:textId="77777777" w:rsidR="00836781" w:rsidRDefault="00836781" w:rsidP="00836781">
      <w:pPr>
        <w:ind w:left="1440" w:hanging="1440"/>
        <w:rPr>
          <w:b/>
          <w:bCs/>
        </w:rPr>
      </w:pPr>
      <w:r>
        <w:rPr>
          <w:b/>
          <w:bCs/>
        </w:rPr>
        <w:t>Proposal 1:</w:t>
      </w:r>
      <w:r>
        <w:rPr>
          <w:b/>
          <w:bCs/>
        </w:rPr>
        <w:tab/>
        <w:t>Introduce a new GNSS assistance information MAC CE, which contains at least GNSS position fix time and validity duration.</w:t>
      </w:r>
    </w:p>
    <w:p w14:paraId="714B863B" w14:textId="77777777" w:rsidR="00836781" w:rsidRDefault="00836781" w:rsidP="00836781">
      <w:pPr>
        <w:ind w:left="1440" w:hanging="1440"/>
        <w:rPr>
          <w:b/>
          <w:bCs/>
        </w:rPr>
      </w:pPr>
      <w:r>
        <w:rPr>
          <w:b/>
          <w:bCs/>
        </w:rPr>
        <w:t>Proposal 2:</w:t>
      </w:r>
      <w:r>
        <w:rPr>
          <w:b/>
          <w:bCs/>
        </w:rPr>
        <w:tab/>
        <w:t>GNSS assistance information is at least reported upon NW request. FFS other reporting trigger conditions.</w:t>
      </w:r>
    </w:p>
    <w:p w14:paraId="7B971269" w14:textId="77777777" w:rsidR="00836781" w:rsidRPr="001F2DCB" w:rsidRDefault="00836781" w:rsidP="00836781">
      <w:pPr>
        <w:ind w:left="1440" w:hanging="1440"/>
        <w:rPr>
          <w:b/>
          <w:bCs/>
        </w:rPr>
      </w:pPr>
      <w:r>
        <w:rPr>
          <w:b/>
          <w:bCs/>
        </w:rPr>
        <w:t>Proposal 3:</w:t>
      </w:r>
      <w:r>
        <w:rPr>
          <w:b/>
          <w:bCs/>
        </w:rPr>
        <w:tab/>
        <w:t>Introduce a new prohibit timer to prevent excessive acquisition and reporting of GNSS information.</w:t>
      </w:r>
    </w:p>
    <w:p w14:paraId="0E2C0C61" w14:textId="77777777" w:rsidR="00FA4598" w:rsidRPr="008E1201" w:rsidRDefault="00FA4598" w:rsidP="00FA4598">
      <w:pPr>
        <w:pStyle w:val="Heading1"/>
      </w:pPr>
      <w:r w:rsidRPr="008E1201">
        <w:lastRenderedPageBreak/>
        <w:t>References</w:t>
      </w:r>
    </w:p>
    <w:p w14:paraId="4AE3A0E2" w14:textId="77777777" w:rsidR="00FA4598" w:rsidRPr="00920E94" w:rsidRDefault="00000000" w:rsidP="00FA4598">
      <w:pPr>
        <w:pStyle w:val="Reference"/>
      </w:pPr>
      <w:hyperlink r:id="rId11" w:history="1">
        <w:r w:rsidR="00FA4598" w:rsidRPr="00920E94">
          <w:rPr>
            <w:rStyle w:val="Hyperlink"/>
            <w:bCs/>
          </w:rPr>
          <w:t>R2-221806</w:t>
        </w:r>
      </w:hyperlink>
      <w:r w:rsidR="00FA4598" w:rsidRPr="00920E94">
        <w:rPr>
          <w:bCs/>
        </w:rPr>
        <w:t xml:space="preserve"> – WID on IoT NTN enhancements – MediaTek Inc.</w:t>
      </w:r>
    </w:p>
    <w:p w14:paraId="199FC80F" w14:textId="2D6927CF" w:rsidR="00FA4598" w:rsidRPr="00920E94" w:rsidRDefault="00FA4598" w:rsidP="00FA4598">
      <w:pPr>
        <w:pStyle w:val="Reference"/>
      </w:pPr>
      <w:r w:rsidRPr="00920E94">
        <w:rPr>
          <w:lang w:val="en-US"/>
        </w:rPr>
        <w:t>RAN1#110 chair</w:t>
      </w:r>
      <w:r w:rsidR="00BE6575">
        <w:rPr>
          <w:lang w:val="en-US"/>
        </w:rPr>
        <w:t>man’s</w:t>
      </w:r>
      <w:r w:rsidRPr="00920E94">
        <w:rPr>
          <w:lang w:val="en-US"/>
        </w:rPr>
        <w:t xml:space="preserve"> notes</w:t>
      </w:r>
    </w:p>
    <w:p w14:paraId="21CAA5A4" w14:textId="77777777" w:rsidR="00FA4598" w:rsidRDefault="00FA4598" w:rsidP="00FA4598"/>
    <w:p w14:paraId="0352902E" w14:textId="77777777" w:rsidR="009827BF" w:rsidRPr="00FA4598" w:rsidRDefault="009827BF" w:rsidP="00FA4598"/>
    <w:sectPr w:rsidR="009827BF" w:rsidRPr="00FA4598" w:rsidSect="00E74F0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DFB31" w14:textId="77777777" w:rsidR="00E83D97" w:rsidRDefault="00E83D97">
      <w:pPr>
        <w:spacing w:after="0"/>
      </w:pPr>
      <w:r>
        <w:separator/>
      </w:r>
    </w:p>
  </w:endnote>
  <w:endnote w:type="continuationSeparator" w:id="0">
    <w:p w14:paraId="738636B5" w14:textId="77777777" w:rsidR="00E83D97" w:rsidRDefault="00E83D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2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CB6F" w14:textId="77777777" w:rsidR="00EF4EB3"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76DE0" w14:textId="77777777" w:rsidR="00EF4EB3"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B73C" w14:textId="77777777" w:rsidR="00EF4EB3"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1350B" w14:textId="77777777" w:rsidR="00E83D97" w:rsidRDefault="00E83D97">
      <w:pPr>
        <w:spacing w:after="0"/>
      </w:pPr>
      <w:r>
        <w:separator/>
      </w:r>
    </w:p>
  </w:footnote>
  <w:footnote w:type="continuationSeparator" w:id="0">
    <w:p w14:paraId="3BD8DD86" w14:textId="77777777" w:rsidR="00E83D97" w:rsidRDefault="00E83D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075F1" w14:textId="77777777" w:rsidR="00796FD4"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FC241" w14:textId="77777777" w:rsidR="00795C73"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76040" w14:textId="77777777" w:rsidR="00796FD4"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6061"/>
    <w:multiLevelType w:val="hybridMultilevel"/>
    <w:tmpl w:val="49A24F02"/>
    <w:lvl w:ilvl="0" w:tplc="0EDA11C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552047"/>
    <w:multiLevelType w:val="multilevel"/>
    <w:tmpl w:val="010698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2714"/>
        </w:tabs>
        <w:ind w:left="2714" w:hanging="720"/>
      </w:pPr>
      <w:rPr>
        <w:rFonts w:hint="default"/>
      </w:rPr>
    </w:lvl>
    <w:lvl w:ilvl="3">
      <w:start w:val="1"/>
      <w:numFmt w:val="decimal"/>
      <w:pStyle w:val="Heading4"/>
      <w:lvlText w:val="%1.%2.%3.%4"/>
      <w:lvlJc w:val="left"/>
      <w:pPr>
        <w:tabs>
          <w:tab w:val="num" w:pos="2574"/>
        </w:tabs>
        <w:ind w:left="2574" w:hanging="864"/>
      </w:pPr>
      <w:rPr>
        <w:rFonts w:hint="default"/>
      </w:rPr>
    </w:lvl>
    <w:lvl w:ilvl="4">
      <w:start w:val="1"/>
      <w:numFmt w:val="decimal"/>
      <w:pStyle w:val="Heading5"/>
      <w:lvlText w:val="%1.%2.%3.%4.%5"/>
      <w:lvlJc w:val="left"/>
      <w:pPr>
        <w:tabs>
          <w:tab w:val="num" w:pos="2718"/>
        </w:tabs>
        <w:ind w:left="2718" w:hanging="1008"/>
      </w:pPr>
      <w:rPr>
        <w:rFonts w:hint="default"/>
      </w:rPr>
    </w:lvl>
    <w:lvl w:ilvl="5">
      <w:start w:val="1"/>
      <w:numFmt w:val="decimal"/>
      <w:pStyle w:val="Heading6"/>
      <w:lvlText w:val="%1.%2.%3.%4.%5.%6"/>
      <w:lvlJc w:val="left"/>
      <w:pPr>
        <w:tabs>
          <w:tab w:val="num" w:pos="2862"/>
        </w:tabs>
        <w:ind w:left="2862" w:hanging="1152"/>
      </w:pPr>
      <w:rPr>
        <w:rFonts w:hint="default"/>
      </w:rPr>
    </w:lvl>
    <w:lvl w:ilvl="6">
      <w:start w:val="1"/>
      <w:numFmt w:val="decimal"/>
      <w:pStyle w:val="Heading7"/>
      <w:lvlText w:val="%1.%2.%3.%4.%5.%6.%7"/>
      <w:lvlJc w:val="left"/>
      <w:pPr>
        <w:tabs>
          <w:tab w:val="num" w:pos="3006"/>
        </w:tabs>
        <w:ind w:left="3006" w:hanging="1296"/>
      </w:pPr>
      <w:rPr>
        <w:rFonts w:hint="default"/>
      </w:rPr>
    </w:lvl>
    <w:lvl w:ilvl="7">
      <w:start w:val="1"/>
      <w:numFmt w:val="decimal"/>
      <w:pStyle w:val="Heading8"/>
      <w:lvlText w:val="%1.%2.%3.%4.%5.%6.%7.%8"/>
      <w:lvlJc w:val="left"/>
      <w:pPr>
        <w:tabs>
          <w:tab w:val="num" w:pos="3150"/>
        </w:tabs>
        <w:ind w:left="3150" w:hanging="1440"/>
      </w:pPr>
      <w:rPr>
        <w:rFonts w:hint="default"/>
      </w:rPr>
    </w:lvl>
    <w:lvl w:ilvl="8">
      <w:start w:val="1"/>
      <w:numFmt w:val="decimal"/>
      <w:pStyle w:val="Heading9"/>
      <w:lvlText w:val="%1.%2.%3.%4.%5.%6.%7.%8.%9"/>
      <w:lvlJc w:val="left"/>
      <w:pPr>
        <w:tabs>
          <w:tab w:val="num" w:pos="3294"/>
        </w:tabs>
        <w:ind w:left="3294" w:hanging="1584"/>
      </w:pPr>
      <w:rPr>
        <w:rFonts w:hint="default"/>
      </w:rPr>
    </w:lvl>
  </w:abstractNum>
  <w:abstractNum w:abstractNumId="2" w15:restartNumberingAfterBreak="0">
    <w:nsid w:val="05AE06D2"/>
    <w:multiLevelType w:val="hybridMultilevel"/>
    <w:tmpl w:val="A2621AF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87E2F85"/>
    <w:multiLevelType w:val="hybridMultilevel"/>
    <w:tmpl w:val="5D9A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93369294">
    <w:abstractNumId w:val="1"/>
  </w:num>
  <w:num w:numId="2" w16cid:durableId="189494286">
    <w:abstractNumId w:val="4"/>
  </w:num>
  <w:num w:numId="3" w16cid:durableId="51736763">
    <w:abstractNumId w:val="3"/>
  </w:num>
  <w:num w:numId="4" w16cid:durableId="27411291">
    <w:abstractNumId w:val="6"/>
  </w:num>
  <w:num w:numId="5" w16cid:durableId="483158031">
    <w:abstractNumId w:val="5"/>
  </w:num>
  <w:num w:numId="6" w16cid:durableId="1364672277">
    <w:abstractNumId w:val="7"/>
  </w:num>
  <w:num w:numId="7" w16cid:durableId="1183739919">
    <w:abstractNumId w:val="2"/>
  </w:num>
  <w:num w:numId="8" w16cid:durableId="827985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C4E"/>
    <w:rsid w:val="00065CF8"/>
    <w:rsid w:val="000B1C90"/>
    <w:rsid w:val="00185E60"/>
    <w:rsid w:val="002217B3"/>
    <w:rsid w:val="00436D58"/>
    <w:rsid w:val="005759D3"/>
    <w:rsid w:val="006A4382"/>
    <w:rsid w:val="00715C4E"/>
    <w:rsid w:val="00836781"/>
    <w:rsid w:val="009827BF"/>
    <w:rsid w:val="00BE6575"/>
    <w:rsid w:val="00CB5B6B"/>
    <w:rsid w:val="00DC0F5F"/>
    <w:rsid w:val="00E83D97"/>
    <w:rsid w:val="00F34BD1"/>
    <w:rsid w:val="00FA45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5C6D"/>
  <w15:chartTrackingRefBased/>
  <w15:docId w15:val="{8F350B6C-FC00-4E3A-B168-7E007D68E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59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436D5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436D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436D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36D58"/>
    <w:pPr>
      <w:numPr>
        <w:ilvl w:val="3"/>
      </w:numPr>
      <w:outlineLvl w:val="3"/>
    </w:pPr>
    <w:rPr>
      <w:sz w:val="24"/>
      <w:szCs w:val="24"/>
    </w:rPr>
  </w:style>
  <w:style w:type="paragraph" w:styleId="Heading5">
    <w:name w:val="heading 5"/>
    <w:basedOn w:val="Heading4"/>
    <w:next w:val="Normal"/>
    <w:link w:val="Heading5Char"/>
    <w:qFormat/>
    <w:rsid w:val="00436D58"/>
    <w:pPr>
      <w:numPr>
        <w:ilvl w:val="4"/>
      </w:numPr>
      <w:outlineLvl w:val="4"/>
    </w:pPr>
    <w:rPr>
      <w:sz w:val="22"/>
      <w:szCs w:val="22"/>
    </w:rPr>
  </w:style>
  <w:style w:type="paragraph" w:styleId="Heading6">
    <w:name w:val="heading 6"/>
    <w:basedOn w:val="Normal"/>
    <w:next w:val="Normal"/>
    <w:link w:val="Heading6Char"/>
    <w:qFormat/>
    <w:rsid w:val="00436D5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436D5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436D58"/>
    <w:pPr>
      <w:numPr>
        <w:ilvl w:val="7"/>
      </w:numPr>
      <w:outlineLvl w:val="7"/>
    </w:pPr>
  </w:style>
  <w:style w:type="paragraph" w:styleId="Heading9">
    <w:name w:val="heading 9"/>
    <w:basedOn w:val="Heading8"/>
    <w:next w:val="Normal"/>
    <w:link w:val="Heading9Char"/>
    <w:qFormat/>
    <w:rsid w:val="00436D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36D58"/>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36D58"/>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36D58"/>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6D58"/>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436D58"/>
    <w:rPr>
      <w:rFonts w:ascii="Arial" w:eastAsia="SimSun" w:hAnsi="Arial" w:cs="Times New Roman"/>
      <w:lang w:val="en-GB" w:eastAsia="zh-CN"/>
    </w:rPr>
  </w:style>
  <w:style w:type="character" w:customStyle="1" w:styleId="Heading6Char">
    <w:name w:val="Heading 6 Char"/>
    <w:basedOn w:val="DefaultParagraphFont"/>
    <w:link w:val="Heading6"/>
    <w:rsid w:val="00436D58"/>
    <w:rPr>
      <w:rFonts w:ascii="Arial" w:hAnsi="Arial" w:cs="Arial"/>
    </w:rPr>
  </w:style>
  <w:style w:type="character" w:customStyle="1" w:styleId="Heading7Char">
    <w:name w:val="Heading 7 Char"/>
    <w:basedOn w:val="DefaultParagraphFont"/>
    <w:link w:val="Heading7"/>
    <w:rsid w:val="00436D58"/>
    <w:rPr>
      <w:rFonts w:ascii="Arial" w:hAnsi="Arial" w:cs="Arial"/>
    </w:rPr>
  </w:style>
  <w:style w:type="character" w:customStyle="1" w:styleId="Heading8Char">
    <w:name w:val="Heading 8 Char"/>
    <w:basedOn w:val="DefaultParagraphFont"/>
    <w:link w:val="Heading8"/>
    <w:rsid w:val="00436D58"/>
    <w:rPr>
      <w:rFonts w:ascii="Arial" w:hAnsi="Arial" w:cs="Arial"/>
    </w:rPr>
  </w:style>
  <w:style w:type="character" w:customStyle="1" w:styleId="Heading9Char">
    <w:name w:val="Heading 9 Char"/>
    <w:basedOn w:val="DefaultParagraphFont"/>
    <w:link w:val="Heading9"/>
    <w:rsid w:val="00436D58"/>
    <w:rPr>
      <w:rFonts w:ascii="Arial" w:hAnsi="Arial" w:cs="Arial"/>
    </w:rPr>
  </w:style>
  <w:style w:type="paragraph" w:styleId="Header">
    <w:name w:val="header"/>
    <w:aliases w:val="header odd"/>
    <w:link w:val="HeaderChar"/>
    <w:rsid w:val="00436D58"/>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
    <w:basedOn w:val="DefaultParagraphFont"/>
    <w:link w:val="Header"/>
    <w:rsid w:val="00436D58"/>
    <w:rPr>
      <w:rFonts w:ascii="Arial" w:eastAsia="SimSun" w:hAnsi="Arial" w:cs="Arial"/>
      <w:b/>
      <w:bCs/>
      <w:noProof/>
      <w:sz w:val="18"/>
      <w:szCs w:val="18"/>
      <w:lang w:eastAsia="zh-CN"/>
    </w:rPr>
  </w:style>
  <w:style w:type="paragraph" w:styleId="Footer">
    <w:name w:val="footer"/>
    <w:basedOn w:val="Header"/>
    <w:link w:val="FooterChar"/>
    <w:semiHidden/>
    <w:rsid w:val="00436D58"/>
    <w:pPr>
      <w:jc w:val="center"/>
    </w:pPr>
    <w:rPr>
      <w:i/>
      <w:iCs/>
    </w:rPr>
  </w:style>
  <w:style w:type="character" w:customStyle="1" w:styleId="FooterChar">
    <w:name w:val="Footer Char"/>
    <w:basedOn w:val="DefaultParagraphFont"/>
    <w:link w:val="Footer"/>
    <w:semiHidden/>
    <w:rsid w:val="00436D58"/>
    <w:rPr>
      <w:rFonts w:ascii="Arial" w:eastAsia="SimSun" w:hAnsi="Arial" w:cs="Arial"/>
      <w:b/>
      <w:bCs/>
      <w:i/>
      <w:iCs/>
      <w:noProof/>
      <w:sz w:val="18"/>
      <w:szCs w:val="18"/>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36D58"/>
    <w:pPr>
      <w:ind w:left="720"/>
    </w:pPr>
    <w:rPr>
      <w:rFonts w:ascii="Calibri" w:eastAsia="Calibri" w:hAnsi="Calibri"/>
    </w:rPr>
  </w:style>
  <w:style w:type="paragraph" w:customStyle="1" w:styleId="CRCoverPage">
    <w:name w:val="CR Cover Page"/>
    <w:rsid w:val="00436D58"/>
    <w:pPr>
      <w:spacing w:after="120" w:line="240" w:lineRule="auto"/>
    </w:pPr>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36D58"/>
    <w:rPr>
      <w:rFonts w:ascii="Calibri" w:eastAsia="Calibri" w:hAnsi="Calibri"/>
    </w:rPr>
  </w:style>
  <w:style w:type="paragraph" w:customStyle="1" w:styleId="3GPPHeader">
    <w:name w:val="3GPP_Header"/>
    <w:basedOn w:val="Normal"/>
    <w:rsid w:val="00FA4598"/>
    <w:pPr>
      <w:tabs>
        <w:tab w:val="left" w:pos="1701"/>
        <w:tab w:val="right" w:pos="9639"/>
      </w:tabs>
      <w:spacing w:after="240"/>
    </w:pPr>
    <w:rPr>
      <w:b/>
      <w:sz w:val="24"/>
    </w:rPr>
  </w:style>
  <w:style w:type="paragraph" w:customStyle="1" w:styleId="Reference">
    <w:name w:val="Reference"/>
    <w:basedOn w:val="Normal"/>
    <w:uiPriority w:val="99"/>
    <w:qFormat/>
    <w:rsid w:val="00FA4598"/>
    <w:pPr>
      <w:numPr>
        <w:numId w:val="5"/>
      </w:numPr>
    </w:pPr>
  </w:style>
  <w:style w:type="character" w:styleId="Hyperlink">
    <w:name w:val="Hyperlink"/>
    <w:basedOn w:val="DefaultParagraphFont"/>
    <w:uiPriority w:val="99"/>
    <w:unhideWhenUsed/>
    <w:qFormat/>
    <w:rsid w:val="00FA4598"/>
    <w:rPr>
      <w:color w:val="0000FF"/>
      <w:u w:val="single"/>
    </w:rPr>
  </w:style>
  <w:style w:type="table" w:styleId="TableGrid">
    <w:name w:val="Table Grid"/>
    <w:basedOn w:val="TableNormal"/>
    <w:uiPriority w:val="39"/>
    <w:rsid w:val="00FA45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1C90"/>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Meetings_3GPP_SYNC/RAN/Inbox_history/3_Wednesday/RP-221806.zip"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388E19-FC79-4AB0-BF94-1B1B152EA88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EB59008-EED7-4D9F-B9E5-F54811B0F752}">
  <ds:schemaRefs>
    <ds:schemaRef ds:uri="http://schemas.microsoft.com/sharepoint/v3/contenttype/forms"/>
  </ds:schemaRefs>
</ds:datastoreItem>
</file>

<file path=customXml/itemProps3.xml><?xml version="1.0" encoding="utf-8"?>
<ds:datastoreItem xmlns:ds="http://schemas.openxmlformats.org/officeDocument/2006/customXml" ds:itemID="{405E61AD-F84B-4763-9D39-65D24AEAB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1366</Words>
  <Characters>7792</Characters>
  <Application>Microsoft Office Word</Application>
  <DocSecurity>0</DocSecurity>
  <Lines>64</Lines>
  <Paragraphs>18</Paragraphs>
  <ScaleCrop>false</ScaleCrop>
  <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문일 이</cp:lastModifiedBy>
  <cp:revision>12</cp:revision>
  <dcterms:created xsi:type="dcterms:W3CDTF">2022-09-27T14:43:00Z</dcterms:created>
  <dcterms:modified xsi:type="dcterms:W3CDTF">2022-09-30T18:40:00Z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